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69A45485">
      <w:pPr>
        <w:keepNext/>
        <w:keepLines/>
        <w:spacing w:before="260" w:after="260" w:line="416" w:lineRule="atLeast"/>
        <w:jc w:val="center"/>
        <w:outlineLvl w:val="1"/>
        <w:rPr>
          <w:rFonts w:hint="default" w:ascii="Times New Roman" w:hAnsi="Times New Roman" w:eastAsia="微软简老宋"/>
          <w:b/>
          <w:bCs/>
          <w:color w:val="00B0F0"/>
          <w:sz w:val="28"/>
          <w:szCs w:val="28"/>
          <w:lang w:val="en-US" w:eastAsia="zh-CN"/>
        </w:rPr>
      </w:pP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 xml:space="preserve"> 内分泌系统</w:t>
      </w:r>
      <w:bookmarkStart w:id="0" w:name="_GoBack"/>
      <w:bookmarkEnd w:id="0"/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4A63E37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E6B30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1807907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内分泌</w:t>
            </w:r>
          </w:p>
        </w:tc>
      </w:tr>
      <w:tr w14:paraId="0250A0D9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A69924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748B92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67DA76DD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B80FB8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C01D7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理论目标 </w:t>
            </w:r>
          </w:p>
          <w:p w14:paraId="30854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1. 掌握内分泌系统的组成；甲状腺、肾上腺、垂体的位置、形态及 </w:t>
            </w:r>
          </w:p>
          <w:p w14:paraId="448E9C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功能。 </w:t>
            </w:r>
          </w:p>
          <w:p w14:paraId="3F2FD6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2. 熟悉甲状旁腺、松果体的位置及功能。 </w:t>
            </w:r>
          </w:p>
          <w:p w14:paraId="1E2D4B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3. 了解内分泌腺的结构特点；神经垂体的结构及功能。 </w:t>
            </w:r>
          </w:p>
          <w:p w14:paraId="32A7EB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能力目标 </w:t>
            </w:r>
          </w:p>
          <w:p w14:paraId="67FA5D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1. 能正确描述甲状腺、肾上腺、垂体的位置和形态。 </w:t>
            </w:r>
          </w:p>
          <w:p w14:paraId="799EDA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2. 在显微镜下认识细胞的结构。 </w:t>
            </w:r>
          </w:p>
          <w:p w14:paraId="55D5207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素质目标 </w:t>
            </w:r>
          </w:p>
          <w:p w14:paraId="4830D5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培养学生局部联系全身、基础联系临床的综合思维能力。</w:t>
            </w:r>
          </w:p>
          <w:p w14:paraId="2D1B5A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</w:p>
        </w:tc>
      </w:tr>
      <w:tr w14:paraId="7AFBA7A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19519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2090145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</w:p>
          <w:p w14:paraId="084E5B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1.甲状腺、肾上腺、垂体的位置、形态及功能（结合护理场景，如甲状腺位置与颈部护理操作的避让原则）。​</w:t>
            </w:r>
          </w:p>
          <w:p w14:paraId="402BE0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2.常见激素（如甲状腺素、胰岛素、肾上腺素）的生理作用与临床护理关联（如胰岛素调节血糖与糖尿病护理的关系）。​</w:t>
            </w:r>
          </w:p>
          <w:p w14:paraId="44E4C8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3.下丘脑与垂体的功能联系，及对靶腺的调节机制（为理解内分泌疾病病因与护理干预提供依据）。</w:t>
            </w:r>
          </w:p>
          <w:p w14:paraId="786356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</w:p>
          <w:p w14:paraId="6920C1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内分泌器官的微细结构（如甲状腺滤泡上皮细胞、肾上腺皮质分层）与激素分泌的关系（需结合多媒体动画，帮助理解结构与功能的关联）。​</w:t>
            </w:r>
          </w:p>
          <w:p w14:paraId="788364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护理操作中内分泌器官的保护要点（如静脉穿刺时避开肾上腺投影区域、颈部护理时避免压迫甲状腺），需结合实操场景强化记忆。​</w:t>
            </w:r>
          </w:p>
          <w:p w14:paraId="3F63BF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</w:p>
        </w:tc>
      </w:tr>
      <w:tr w14:paraId="5AF08C22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CED403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9E0D3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案例教学法、多媒体辅助教学、情景模拟法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、实操训练法</w:t>
            </w:r>
          </w:p>
        </w:tc>
      </w:tr>
      <w:tr w14:paraId="7A89410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EFE7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4DA8A78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一体机</w:t>
            </w:r>
            <w:r>
              <w:rPr>
                <w:rFonts w:hint="eastAsia" w:ascii="Times New Roman" w:hAnsi="宋体"/>
                <w:sz w:val="24"/>
                <w:szCs w:val="24"/>
              </w:rPr>
              <w:t>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模型、标本、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临床护理视频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  <w:lang w:eastAsia="zh-CN"/>
              </w:rPr>
              <w:t>、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EFF0F1"/>
              </w:rPr>
              <w:t>情景模拟道具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。</w:t>
            </w:r>
          </w:p>
        </w:tc>
      </w:tr>
      <w:tr w14:paraId="7D2A64C3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3C104F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227287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  <w:p w14:paraId="5DECF7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（40min）--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课堂小结</w:t>
            </w:r>
            <w:r>
              <w:rPr>
                <w:rFonts w:hint="eastAsia" w:ascii="Times New Roman" w:hAnsi="宋体"/>
                <w:sz w:val="24"/>
                <w:szCs w:val="24"/>
              </w:rPr>
              <w:t>（3min）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--作业布置（2min）</w:t>
            </w:r>
          </w:p>
        </w:tc>
      </w:tr>
      <w:tr w14:paraId="52E4BC2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54C94D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61510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19C680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2C14A441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380356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2CAFED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hanging="8" w:firstLine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8776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01BDBB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70A16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6AC0FEF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318423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导入</w:t>
            </w:r>
          </w:p>
          <w:p w14:paraId="598C6F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D8E8E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展示临床案例：“患者，男，50 岁，因‘反复口渴、多饮、多尿 1 个月’入院，血糖检测显示空腹血糖 10.2mmol/L，初步诊断为 2 型糖尿病。”​</w:t>
            </w:r>
          </w:p>
          <w:p w14:paraId="0825D47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-8" w:leftChars="0" w:right="0" w:rightChars="0" w:firstLine="480" w:firstLineChars="200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提问引导：“大家知道糖尿病与哪个内分泌器官相关吗？这个器官分泌的激素有什么作用？护士在护理这类患者时，需要关注哪些指标？”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32C167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</w:tc>
      </w:tr>
      <w:tr w14:paraId="47A19B70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BFA2F4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0006B60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80min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277B1B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内分泌系统概述​</w:t>
            </w:r>
          </w:p>
          <w:p w14:paraId="14C691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对比内分泌腺与外分泌腺的区别（结合护理实例：内分泌腺功能异常导致疾病，如甲状腺功能异常；外分泌腺疾病如胰腺炎，需不同护理重点）。​</w:t>
            </w:r>
          </w:p>
          <w:p w14:paraId="027734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强调内分泌系统对护理的意义：护士需通过观察患者症状（如心慌、水肿、体重变化），判断可能的内分泌功能异常，为医生诊断提供依据。​</w:t>
            </w:r>
          </w:p>
          <w:p w14:paraId="241E91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重点内分泌器官讲解​</w:t>
            </w:r>
          </w:p>
          <w:p w14:paraId="66847F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甲状腺​</w:t>
            </w:r>
          </w:p>
          <w:p w14:paraId="3AE7C6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解剖位置：喉下部、气管上部两侧，体表投影为喉结下方 2-4 气</w:t>
            </w:r>
          </w:p>
          <w:p w14:paraId="12557B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管软骨处，甲状腺峡位于第 2-4 气管软骨前方；​</w:t>
            </w:r>
          </w:p>
          <w:p w14:paraId="3394E7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生理功能：分泌甲状腺素（T3、T4），调节新陈代谢、生长发</w:t>
            </w:r>
          </w:p>
          <w:p w14:paraId="70C0B8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育（尤其骨骼与神经系统）；​</w:t>
            </w:r>
          </w:p>
          <w:p w14:paraId="007CAA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护理关联：①颈部护理（如吸痰、气管切开）需避开甲状腺峡</w:t>
            </w:r>
          </w:p>
          <w:p w14:paraId="64B01A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部，防止损伤；②甲亢患者触诊需掌握前后位手法（前位：护士对面，拇指按峡部，示指、中指摸两侧叶；后位：护士站身后，示指、中指按峡部，拇指摸两侧叶），触诊时观察患者表情，避免过度按压；③甲亢患者需监测心率、体温，甲减患者需观察皮肤湿度、水肿情况。​</w:t>
            </w:r>
          </w:p>
          <w:p w14:paraId="231885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甲状旁腺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​</w:t>
            </w:r>
          </w:p>
          <w:p w14:paraId="5ECCB7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解剖位置：甲状腺左右叶后面，通常 4 枚，似绿豆大小，部分</w:t>
            </w:r>
          </w:p>
          <w:p w14:paraId="0FAD9C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埋于甲状腺组织内；​</w:t>
            </w:r>
          </w:p>
          <w:p w14:paraId="3AD801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生理功能：分泌甲状旁腺激素（PTH），升高血钙、降低血磷，</w:t>
            </w:r>
          </w:p>
          <w:p w14:paraId="2764C5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维持钙磷平衡；​</w:t>
            </w:r>
          </w:p>
          <w:p w14:paraId="17737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护理关联：①甲状腺手术患者术后需重点观察手足抽搐、口唇</w:t>
            </w:r>
          </w:p>
          <w:p w14:paraId="1B5197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麻木（低钙血症表现），一旦发生，立即遵医嘱静脉推注 10% 葡萄糖酸钙（速度≤1ml/min，防止心律失常）；②长期卧床患者需关注钙流失，指导适当补钙与床上活动，预防骨质疏松。​</w:t>
            </w:r>
          </w:p>
          <w:p w14:paraId="29D3FB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肾上腺​</w:t>
            </w:r>
          </w:p>
          <w:p w14:paraId="16C3DB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解剖位置：两肾上端，腹膜之后，左肾上腺呈半月形，右肾上</w:t>
            </w:r>
          </w:p>
          <w:p w14:paraId="2E0CD9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腺呈三角形；​</w:t>
            </w:r>
          </w:p>
          <w:p w14:paraId="44105E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生理功能：皮质分泌盐皮质激素（调节水钠平衡）、糖皮质激</w:t>
            </w:r>
          </w:p>
          <w:p w14:paraId="026F76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素（抗炎、调节代谢）、性激素；髓质分泌肾上腺素、去甲肾上腺素（应急激素，升高血压、加快心率）；​</w:t>
            </w:r>
          </w:p>
          <w:p w14:paraId="1F0CA4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护理关联：①静脉穿刺时避开肾上腺投影区域（腰背部两侧），</w:t>
            </w:r>
          </w:p>
          <w:p w14:paraId="48A4D5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防止损伤；②长期使用糖皮质激素患者需观察水肿、血糖升高、骨质疏松（如定期监测骨密度）；③过敏性休克急救时，配合医生皮下注射肾上腺素 1mg，注射后监测心率、血压变化，记录用药时间与反应。​</w:t>
            </w:r>
          </w:p>
          <w:p w14:paraId="5E27AC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垂体​</w:t>
            </w:r>
          </w:p>
          <w:p w14:paraId="31662D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解剖位置：颅中窝垂体窝内，借漏斗连于下丘脑，分为腺垂体</w:t>
            </w:r>
          </w:p>
          <w:p w14:paraId="7A7F59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与神经垂体；​</w:t>
            </w:r>
          </w:p>
          <w:p w14:paraId="7F88D7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生理功能：腺垂体分泌生长激素（GH）、促甲状腺激素（TSH）、</w:t>
            </w:r>
          </w:p>
          <w:p w14:paraId="64DC43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促肾上腺皮质激素（ACTH）等，调节靶腺功能；神经垂体释放抗利尿激素（ADH，调节尿量）、催产素（促进子宫收缩）；​</w:t>
            </w:r>
          </w:p>
          <w:p w14:paraId="78AA1A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护理关联：①尿崩症患者（ADH 分泌不足）需记录 24 小时出</w:t>
            </w:r>
          </w:p>
          <w:p w14:paraId="6BA4B3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入量，观察尿量（常＞2500ml/d）、尿色（清澈如水），指导患者补充水分；②产后使用催产素时，严格遵医嘱控制滴速，观察子宫收缩频率与强度，防止子宫破裂。​</w:t>
            </w:r>
          </w:p>
          <w:p w14:paraId="0330C2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松果体​</w:t>
            </w:r>
          </w:p>
          <w:p w14:paraId="4BD4B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解剖位置：背侧丘脑后上方，颅内中线附近；​</w:t>
            </w:r>
          </w:p>
          <w:p w14:paraId="26793E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rightChars="0" w:firstLine="480" w:firstLineChars="20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生理功能：分泌褪黑素，调节睡眠 - 觉醒周期，受光照影响（白天分泌少，夜间分泌多）；​</w:t>
            </w:r>
          </w:p>
          <w:p w14:paraId="42C084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420" w:leftChars="200" w:right="0" w:rightChars="0"/>
              <w:jc w:val="left"/>
              <w:textAlignment w:val="auto"/>
              <w:rPr>
                <w:rFonts w:hint="default" w:ascii="Times New Roman" w:hAnsi="宋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护理关联：①护理失眠患者时，可建议规律作息、睡前避免强</w:t>
            </w:r>
          </w:p>
          <w:p w14:paraId="361EC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sz w:val="24"/>
                <w:szCs w:val="24"/>
                <w:lang w:val="en-US" w:eastAsia="zh-CN"/>
              </w:rPr>
              <w:t>光（如少看手机），帮助调节褪黑素分泌；②长期使用镇静剂患者，观察睡眠质量变化，及时反馈医生调整用药。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2D0EF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0AA7E9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02A201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393E28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646048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25152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1A5E7BA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0F710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1A82D26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6D7AD1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5A2F08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40C252B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cs="宋体"/>
                <w:kern w:val="0"/>
                <w:sz w:val="24"/>
                <w:szCs w:val="21"/>
                <w:lang w:val="en-US" w:eastAsia="zh-CN"/>
              </w:rPr>
            </w:pPr>
          </w:p>
          <w:p w14:paraId="288FDC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</w:p>
        </w:tc>
      </w:tr>
      <w:tr w14:paraId="53F1BBC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60102D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课堂总结</w:t>
            </w:r>
          </w:p>
          <w:p w14:paraId="19B1A6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3min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ED4CAA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用分层思维导图总结（按 “甲状腺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Times New Roman" w:hAnsi="Times New Roman"/>
                <w:sz w:val="24"/>
                <w:szCs w:val="24"/>
              </w:rPr>
              <w:t>甲状旁腺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Times New Roman" w:hAnsi="Times New Roman"/>
                <w:sz w:val="24"/>
                <w:szCs w:val="24"/>
              </w:rPr>
              <w:t>肾上腺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Times New Roman" w:hAnsi="Times New Roman"/>
                <w:sz w:val="24"/>
                <w:szCs w:val="24"/>
              </w:rPr>
              <w:t>垂体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Times New Roman" w:hAnsi="Times New Roman"/>
                <w:sz w:val="24"/>
                <w:szCs w:val="24"/>
              </w:rPr>
              <w:t>松果体”顺序）：​</w:t>
            </w:r>
          </w:p>
          <w:p w14:paraId="4497AFB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第一层：各器官位置与核心功能；​</w:t>
            </w:r>
          </w:p>
          <w:p w14:paraId="460D311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 w:firstLine="480" w:firstLineChars="200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第二层：各器官异常对应的典型症状；​</w:t>
            </w:r>
          </w:p>
          <w:p w14:paraId="4C02E92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 w:firstLine="480" w:firstLineChars="20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第三层：针对性护理要点（如甲状腺触诊、低钙血症补钙、肾上腺激素急救配合）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7201A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14:paraId="4513066E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019883D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</w:p>
          <w:p w14:paraId="36FCC6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CBD1D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66E5BE4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一、</w:t>
            </w: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单选题：</w:t>
            </w:r>
          </w:p>
          <w:p w14:paraId="6FDE9A4F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1. 不属于内分泌腺的是（  ）。 </w:t>
            </w:r>
          </w:p>
          <w:p w14:paraId="3CC51CB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垂体 B. 肾上腺 C. 胰腺 </w:t>
            </w:r>
          </w:p>
          <w:p w14:paraId="1AC23A71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D. 甲状腺 E. 甲状旁腺 </w:t>
            </w:r>
          </w:p>
          <w:p w14:paraId="1A7A24C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2. 使血钙升高的激素是（  ）。 </w:t>
            </w:r>
          </w:p>
          <w:p w14:paraId="2742987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甲状腺素 B. 甲状旁腺激素 </w:t>
            </w:r>
          </w:p>
          <w:p w14:paraId="7301BB1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C. 盐皮质激素 D. 糖皮质激素 </w:t>
            </w:r>
          </w:p>
          <w:p w14:paraId="2D40E06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E. 肾上腺素 </w:t>
            </w:r>
          </w:p>
          <w:p w14:paraId="540523B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3. 分泌降钙素的是（  ）。 </w:t>
            </w:r>
          </w:p>
          <w:p w14:paraId="5A4AE22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甲状腺滤泡上皮细胞 B. 甲状腺滤泡旁细胞 </w:t>
            </w:r>
          </w:p>
          <w:p w14:paraId="4157419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C. 甲状旁腺主细胞 D. 嗜铬细胞 </w:t>
            </w:r>
          </w:p>
          <w:p w14:paraId="21C47A4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E. 嫌色细胞 </w:t>
            </w:r>
          </w:p>
          <w:p w14:paraId="1DE5697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4. 幼年时生长素分泌不足可导致（  ）。 </w:t>
            </w:r>
          </w:p>
          <w:p w14:paraId="7F9E5D87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酮血症 B. 巨人症 C. 侏儒症 </w:t>
            </w:r>
          </w:p>
          <w:p w14:paraId="23642AB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D. 呆小症 E. 血崩症</w:t>
            </w:r>
          </w:p>
          <w:p w14:paraId="3C0BF05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5. 肾上腺皮质束状带分泌（  ）。 </w:t>
            </w:r>
          </w:p>
          <w:p w14:paraId="2306E003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盐皮质激素 B. 糖皮质激素 C. 肾上腺素 </w:t>
            </w:r>
          </w:p>
          <w:p w14:paraId="1AF0E97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D. 去甲肾上腺素 E. 雄激素 </w:t>
            </w:r>
          </w:p>
          <w:p w14:paraId="718AF0B4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6. 垂体嗜酸性细胞分泌的激素是（  ）。 </w:t>
            </w:r>
          </w:p>
          <w:p w14:paraId="7F096940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促甲状腺素 B. 促肾上腺皮质素 </w:t>
            </w:r>
          </w:p>
          <w:p w14:paraId="3E0D86B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C. 抗利尿激素 D. 促性腺激素 </w:t>
            </w:r>
          </w:p>
          <w:p w14:paraId="2FF99EFB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E. 催乳激素 </w:t>
            </w:r>
          </w:p>
          <w:p w14:paraId="30A0685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7. 甲状腺大部切除术后第2天，患者出现手足抽搐等症状，其原因可能 是（  ）。 </w:t>
            </w:r>
          </w:p>
          <w:p w14:paraId="38F00602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误切了甲状旁腺 B. 损伤了喉返神经 </w:t>
            </w:r>
          </w:p>
          <w:p w14:paraId="7C8B6B1E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C. 损伤了喉上神经 D. 损伤了迷走神经 </w:t>
            </w:r>
          </w:p>
          <w:p w14:paraId="561DB69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E. 损伤了舌咽神经 </w:t>
            </w:r>
          </w:p>
          <w:p w14:paraId="22B34074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8. 下列关于垂体的描述，错误的是（  ）。 </w:t>
            </w:r>
          </w:p>
          <w:p w14:paraId="1A8A83E5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位于蝶骨体上面的垂体窝内 </w:t>
            </w:r>
          </w:p>
          <w:p w14:paraId="10929298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B. 分为腺垂体和神经垂体两部分 </w:t>
            </w:r>
          </w:p>
          <w:p w14:paraId="49BA65FA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C. 腺垂体能分泌多种激素 </w:t>
            </w:r>
          </w:p>
          <w:p w14:paraId="1F6ACFCD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D. 神经垂体是储存和释放激素的部位 </w:t>
            </w:r>
          </w:p>
          <w:p w14:paraId="50C054E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E. 嗜碱性细胞能分泌生长激素 </w:t>
            </w:r>
          </w:p>
          <w:p w14:paraId="127E9931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9. 调节甲状腺功能的主要激素是（  ）。 </w:t>
            </w:r>
          </w:p>
          <w:p w14:paraId="1EE6B9CA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 xml:space="preserve">A. 甲状腺素 B. 甲状旁腺激素 C. 生长激素 </w:t>
            </w:r>
          </w:p>
          <w:p w14:paraId="37B119EC"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right="0" w:rightChars="0"/>
              <w:rPr>
                <w:rFonts w:hint="default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hAnsi="宋体"/>
                <w:bCs/>
                <w:sz w:val="24"/>
                <w:szCs w:val="24"/>
                <w:lang w:val="en-US" w:eastAsia="zh-CN"/>
              </w:rPr>
              <w:t>D. 促甲状腺激素 E. 降钙素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8BE06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</w:tbl>
    <w:p w14:paraId="4397F990"/>
    <w:p w14:paraId="27227435"/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黑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inYinok"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DAB66AC"/>
    <w:rsid w:val="0E3C75E8"/>
    <w:rsid w:val="111D5F2C"/>
    <w:rsid w:val="14567820"/>
    <w:rsid w:val="1A2D361D"/>
    <w:rsid w:val="1EF73364"/>
    <w:rsid w:val="1FB33E78"/>
    <w:rsid w:val="1FB84519"/>
    <w:rsid w:val="1FF010C6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6DD73D4"/>
    <w:rsid w:val="388B134B"/>
    <w:rsid w:val="3F917AE3"/>
    <w:rsid w:val="436C72A2"/>
    <w:rsid w:val="43CD7F64"/>
    <w:rsid w:val="44B33A23"/>
    <w:rsid w:val="45C91BBA"/>
    <w:rsid w:val="49F8701E"/>
    <w:rsid w:val="4C7F0E23"/>
    <w:rsid w:val="4DAA69B1"/>
    <w:rsid w:val="52113FD0"/>
    <w:rsid w:val="5612091C"/>
    <w:rsid w:val="5A7C6694"/>
    <w:rsid w:val="600E33E1"/>
    <w:rsid w:val="622A303A"/>
    <w:rsid w:val="6D9403BF"/>
    <w:rsid w:val="70DF7C13"/>
    <w:rsid w:val="723010AC"/>
    <w:rsid w:val="77042BE8"/>
    <w:rsid w:val="7AC621C8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2583</Words>
  <Characters>2744</Characters>
  <Lines>1</Lines>
  <Paragraphs>1</Paragraphs>
  <TotalTime>30</TotalTime>
  <ScaleCrop>false</ScaleCrop>
  <LinksUpToDate>false</LinksUpToDate>
  <CharactersWithSpaces>2906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嘟嘟</cp:lastModifiedBy>
  <dcterms:modified xsi:type="dcterms:W3CDTF">2025-10-09T03:17:38Z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69DA5D4C6547429DB5E1ED277CDB8FA0_13</vt:lpwstr>
  </property>
  <property fmtid="{D5CDD505-2E9C-101B-9397-08002B2CF9AE}" pid="4" name="KSOTemplateDocerSaveRecord">
    <vt:lpwstr>eyJoZGlkIjoiNTRhMzg2OWJjMjI3MTg1NjMwMzY2YzM2YjFhZmRkZDkiLCJ1c2VySWQiOiI2NzMyNTM1ODMifQ==</vt:lpwstr>
  </property>
</Properties>
</file>